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
        <w:jc w:val="center"/>
      </w:pPr>
      <w:r>
        <w:rPr>
          <w:rFonts w:ascii="Calibri" w:cs="Calibri" w:eastAsia="Calibri" w:hAnsi="Calibri"/>
          <w:b/>
          <w:bCs/>
          <w:sz w:val="36"/>
          <w:szCs w:val="36"/>
        </w:rPr>
        <w:t xml:space="preserve">Samuel Babichenko</w:t>
      </w:r>
    </w:p>
    <w:p>
      <w:pPr>
        <w:spacing w:before="0" w:after="20"/>
        <w:jc w:val="center"/>
      </w:pPr>
      <w:r>
        <w:rPr>
          <w:rFonts w:ascii="Calibri" w:cs="Calibri" w:eastAsia="Calibri" w:hAnsi="Calibri"/>
          <w:sz w:val="18"/>
          <w:szCs w:val="18"/>
        </w:rPr>
        <w:t xml:space="preserve">sbabichenko@ucsb.edu  |  +1-714-280-2995  |  </w:t>
      </w:r>
      <w:hyperlink w:history="1" r:id="rIdtsfm6pmingpshjy5j4cmb">
        <w:r>
          <w:rPr>
            <w:rStyle w:val="Hyperlink"/>
            <w:rFonts w:ascii="Calibri" w:cs="Calibri" w:eastAsia="Calibri" w:hAnsi="Calibri"/>
            <w:sz w:val="18"/>
            <w:szCs w:val="18"/>
          </w:rPr>
          <w:t xml:space="preserve">sbabichenko.com</w:t>
        </w:r>
      </w:hyperlink>
      <w:r>
        <w:rPr>
          <w:rFonts w:ascii="Calibri" w:cs="Calibri" w:eastAsia="Calibri" w:hAnsi="Calibri"/>
          <w:sz w:val="18"/>
          <w:szCs w:val="18"/>
        </w:rPr>
        <w:t xml:space="preserve">  |  </w:t>
      </w:r>
      <w:hyperlink w:history="1" r:id="rId5zqvt5dfszyxtc-qh2lhv">
        <w:r>
          <w:rPr>
            <w:rStyle w:val="Hyperlink"/>
            <w:rFonts w:ascii="Calibri" w:cs="Calibri" w:eastAsia="Calibri" w:hAnsi="Calibri"/>
            <w:sz w:val="18"/>
            <w:szCs w:val="18"/>
          </w:rPr>
          <w:t xml:space="preserve">LinkedIn</w:t>
        </w:r>
      </w:hyperlink>
    </w:p>
    <w:p>
      <w:pPr>
        <w:spacing w:before="60" w:after="0"/>
      </w:pPr>
      <w:r>
        <w:rPr>
          <w:rFonts w:ascii="Calibri" w:cs="Calibri" w:eastAsia="Calibri" w:hAnsi="Calibri"/>
          <w:sz w:val="20"/>
          <w:szCs w:val="20"/>
        </w:rPr>
        <w:t xml:space="preserve">PhD candidate in Statistics specializing in stochastic control, game theory, and dynamic decision-making under asymmetric information. Research resolves a foundational open problem in equilibrium theory with applications to strategic trading, price impact, and market microstructure. Builds high-performance numerical solvers in C++/CUDA. Designs generative models (transformers, diffusion) for sequential decision-making and multi-agent simulation.</w:t>
      </w:r>
    </w:p>
    <w:p>
      <w:pPr>
        <w:pStyle w:val="Heading1"/>
        <w:pBdr>
          <w:bottom w:val="single" w:color="000000" w:sz="4" w:space="1"/>
        </w:pBdr>
        <w:spacing w:before="120" w:after="20"/>
      </w:pPr>
      <w:r>
        <w:rPr>
          <w:rFonts w:ascii="Calibri" w:cs="Calibri" w:eastAsia="Calibri" w:hAnsi="Calibri"/>
        </w:rPr>
        <w:t xml:space="preserve">Education</w:t>
      </w:r>
    </w:p>
    <w:p>
      <w:pPr>
        <w:tabs>
          <w:tab w:val="right" w:pos="10800"/>
        </w:tabs>
        <w:spacing w:before="30" w:after="0"/>
      </w:pPr>
      <w:r>
        <w:rPr>
          <w:rFonts w:ascii="Calibri" w:cs="Calibri" w:eastAsia="Calibri" w:hAnsi="Calibri"/>
          <w:b/>
          <w:bCs/>
          <w:sz w:val="20"/>
          <w:szCs w:val="20"/>
        </w:rPr>
        <w:t xml:space="preserve">PhD in Statistics and Applied Probability, </w:t>
      </w:r>
      <w:r>
        <w:rPr>
          <w:rFonts w:ascii="Calibri" w:cs="Calibri" w:eastAsia="Calibri" w:hAnsi="Calibri"/>
          <w:sz w:val="20"/>
          <w:szCs w:val="20"/>
        </w:rPr>
        <w:t xml:space="preserve">UC Santa Barbara</w:t>
      </w:r>
      <w:r>
        <w:rPr>
          <w:rFonts w:ascii="Calibri" w:cs="Calibri" w:eastAsia="Calibri" w:hAnsi="Calibri"/>
          <w:sz w:val="20"/>
          <w:szCs w:val="20"/>
        </w:rPr>
        <w:t xml:space="preserve">	</w:t>
      </w:r>
      <w:r>
        <w:rPr>
          <w:rFonts w:ascii="Calibri" w:cs="Calibri" w:eastAsia="Calibri" w:hAnsi="Calibri"/>
          <w:sz w:val="20"/>
          <w:szCs w:val="20"/>
        </w:rPr>
        <w:t xml:space="preserve">Sep 2021 – Jun 2026</w:t>
      </w:r>
    </w:p>
    <w:p>
      <w:pPr>
        <w:spacing w:before="5" w:after="0"/>
        <w:ind w:left="180"/>
      </w:pPr>
      <w:r>
        <w:rPr>
          <w:rFonts w:ascii="Calibri" w:cs="Calibri" w:eastAsia="Calibri" w:hAnsi="Calibri"/>
          <w:sz w:val="20"/>
          <w:szCs w:val="20"/>
        </w:rPr>
        <w:t xml:space="preserve">Advisor: Tomoyuki Ichiba. Thesis: Continuous-time LQG games with endogenous signals.</w:t>
      </w:r>
    </w:p>
    <w:p>
      <w:pPr>
        <w:spacing w:before="5" w:after="0"/>
        <w:ind w:left="180"/>
      </w:pPr>
      <w:r>
        <w:rPr>
          <w:rFonts w:ascii="Calibri" w:cs="Calibri" w:eastAsia="Calibri" w:hAnsi="Calibri"/>
          <w:i/>
          <w:iCs/>
          <w:sz w:val="20"/>
          <w:szCs w:val="20"/>
        </w:rPr>
        <w:t xml:space="preserve">Passed all qualifying exams prior to the first term of the PhD.</w:t>
      </w:r>
    </w:p>
    <w:p>
      <w:pPr>
        <w:spacing w:before="5" w:after="0"/>
        <w:ind w:left="180"/>
      </w:pPr>
      <w:r>
        <w:rPr>
          <w:rFonts w:ascii="Calibri" w:cs="Calibri" w:eastAsia="Calibri" w:hAnsi="Calibri"/>
          <w:sz w:val="20"/>
          <w:szCs w:val="20"/>
        </w:rPr>
        <w:t xml:space="preserve">Graduate Teaching Assistant. Mentored 10+ undergraduates, majority of whom are now in PhD programs. Presented at UCSD Stochastic Systems Seminar.</w:t>
      </w:r>
    </w:p>
    <w:p>
      <w:pPr>
        <w:tabs>
          <w:tab w:val="right" w:pos="10800"/>
        </w:tabs>
        <w:spacing w:before="30" w:after="0"/>
      </w:pPr>
      <w:r>
        <w:rPr>
          <w:rFonts w:ascii="Calibri" w:cs="Calibri" w:eastAsia="Calibri" w:hAnsi="Calibri"/>
          <w:b/>
          <w:bCs/>
          <w:sz w:val="20"/>
          <w:szCs w:val="20"/>
        </w:rPr>
        <w:t xml:space="preserve">BS in Mathematics, </w:t>
      </w:r>
      <w:r>
        <w:rPr>
          <w:rFonts w:ascii="Calibri" w:cs="Calibri" w:eastAsia="Calibri" w:hAnsi="Calibri"/>
          <w:sz w:val="20"/>
          <w:szCs w:val="20"/>
        </w:rPr>
        <w:t xml:space="preserve">UC San Diego.  </w:t>
      </w:r>
      <w:r>
        <w:rPr>
          <w:rFonts w:ascii="Calibri" w:cs="Calibri" w:eastAsia="Calibri" w:hAnsi="Calibri"/>
          <w:i/>
          <w:iCs/>
          <w:sz w:val="20"/>
          <w:szCs w:val="20"/>
        </w:rPr>
        <w:t xml:space="preserve">Dean’s Undergraduate Excellence Award (top 0.5%, Physical Sciences).</w:t>
      </w:r>
      <w:r>
        <w:rPr>
          <w:rFonts w:ascii="Calibri" w:cs="Calibri" w:eastAsia="Calibri" w:hAnsi="Calibri"/>
          <w:sz w:val="20"/>
          <w:szCs w:val="20"/>
        </w:rPr>
        <w:t xml:space="preserve">	</w:t>
      </w:r>
      <w:r>
        <w:rPr>
          <w:rFonts w:ascii="Calibri" w:cs="Calibri" w:eastAsia="Calibri" w:hAnsi="Calibri"/>
          <w:sz w:val="20"/>
          <w:szCs w:val="20"/>
        </w:rPr>
        <w:t xml:space="preserve">Sep 2019 – Jun 2021</w:t>
      </w:r>
    </w:p>
    <w:p>
      <w:pPr>
        <w:pStyle w:val="Heading1"/>
        <w:pBdr>
          <w:bottom w:val="single" w:color="000000" w:sz="4" w:space="1"/>
        </w:pBdr>
        <w:spacing w:before="140" w:after="20"/>
      </w:pPr>
      <w:r>
        <w:rPr>
          <w:rFonts w:ascii="Calibri" w:cs="Calibri" w:eastAsia="Calibri" w:hAnsi="Calibri"/>
        </w:rPr>
        <w:t xml:space="preserve">Research</w:t>
      </w:r>
    </w:p>
    <w:p>
      <w:pPr>
        <w:tabs>
          <w:tab w:val="right" w:pos="10800"/>
        </w:tabs>
        <w:spacing w:before="30" w:after="0"/>
      </w:pPr>
      <w:r>
        <w:rPr>
          <w:rFonts w:ascii="Calibri" w:cs="Calibri" w:eastAsia="Calibri" w:hAnsi="Calibri"/>
          <w:b/>
          <w:bCs/>
          <w:i/>
          <w:iCs/>
          <w:sz w:val="20"/>
          <w:szCs w:val="20"/>
        </w:rPr>
        <w:t xml:space="preserve">Forecasting and Manipulating the Forecasts of Others</w:t>
      </w:r>
      <w:r>
        <w:rPr>
          <w:rFonts w:ascii="Calibri" w:cs="Calibri" w:eastAsia="Calibri" w:hAnsi="Calibri"/>
          <w:sz w:val="20"/>
          <w:szCs w:val="20"/>
        </w:rPr>
        <w:t xml:space="preserve">	</w:t>
      </w:r>
      <w:hyperlink w:history="1" r:id="rIdnblhburi5uofhccyqxzgd">
        <w:r>
          <w:rPr>
            <w:rStyle w:val="Hyperlink"/>
            <w:rFonts w:ascii="Calibri" w:cs="Calibri" w:eastAsia="Calibri" w:hAnsi="Calibri"/>
            <w:sz w:val="20"/>
            <w:szCs w:val="20"/>
          </w:rPr>
          <w:t xml:space="preserve">arXiv: 2603.12140</w:t>
        </w:r>
      </w:hyperlink>
    </w:p>
    <w:p>
      <w:pPr>
        <w:spacing w:before="5" w:after="0"/>
        <w:ind w:left="180"/>
      </w:pPr>
      <w:r>
        <w:rPr>
          <w:rFonts w:ascii="Calibri" w:cs="Calibri" w:eastAsia="Calibri" w:hAnsi="Calibri"/>
          <w:sz w:val="20"/>
          <w:szCs w:val="20"/>
        </w:rPr>
        <w:t xml:space="preserve">Solo-authored. Submitted March 2026.</w:t>
      </w:r>
    </w:p>
    <w:p>
      <w:pPr>
        <w:pStyle w:val="ListParagraph"/>
        <w:numPr>
          <w:ilvl w:val="0"/>
          <w:numId w:val="2"/>
        </w:numPr>
        <w:spacing w:before="10" w:after="10"/>
      </w:pPr>
      <w:r>
        <w:rPr>
          <w:rFonts w:ascii="Calibri" w:cs="Calibri" w:eastAsia="Calibri" w:hAnsi="Calibri"/>
          <w:sz w:val="20"/>
          <w:szCs w:val="20"/>
        </w:rPr>
        <w:t xml:space="preserve">First exact solution to a class of trading games with private information open since Townsend (1983). Solves for equilibrium trading strategies, price impact, and welfare costs in markets where traders learn from each other’s order flow. Works in the exact model class behind Kyle-type market microstructure, optimal execution, and multi-agent control, with no approximation or large-population limit.</w:t>
      </w:r>
    </w:p>
    <w:p>
      <w:pPr>
        <w:pStyle w:val="ListParagraph"/>
        <w:numPr>
          <w:ilvl w:val="0"/>
          <w:numId w:val="2"/>
        </w:numPr>
        <w:spacing w:before="10" w:after="10"/>
      </w:pPr>
      <w:r>
        <w:rPr>
          <w:rFonts w:ascii="Calibri" w:cs="Calibri" w:eastAsia="Calibri" w:hAnsi="Calibri"/>
          <w:sz w:val="20"/>
          <w:szCs w:val="20"/>
        </w:rPr>
        <w:t xml:space="preserve">Quantifies how information asymmetry distorts prices and trading behavior: not just added noise, but systematic bias in mean prices, excess volatility, and wasted effort from strategic belief manipulation. Decomposes the total cost into an estimation component and a strategic component, showing the strategic channel dominates by an order of magnitude.</w:t>
      </w:r>
    </w:p>
    <w:p>
      <w:pPr>
        <w:pStyle w:val="ListParagraph"/>
        <w:numPr>
          <w:ilvl w:val="0"/>
          <w:numId w:val="2"/>
        </w:numPr>
        <w:spacing w:before="10" w:after="10"/>
      </w:pPr>
      <w:r>
        <w:rPr>
          <w:rFonts w:ascii="Calibri" w:cs="Calibri" w:eastAsia="Calibri" w:hAnsi="Calibri"/>
          <w:sz w:val="20"/>
          <w:szCs w:val="20"/>
        </w:rPr>
        <w:t xml:space="preserve">C++ solver computes equilibria in ~10ms. Compiled to WebAssembly for a browser-side interactive explorer at ~60ms. Live demo: </w:t>
      </w:r>
      <w:hyperlink w:history="1" r:id="rIdgxntr7imzez6hthspf87r">
        <w:r>
          <w:rPr>
            <w:rStyle w:val="Hyperlink"/>
            <w:rFonts w:ascii="Calibri" w:cs="Calibri" w:eastAsia="Calibri" w:hAnsi="Calibri"/>
            <w:sz w:val="20"/>
            <w:szCs w:val="20"/>
          </w:rPr>
          <w:t xml:space="preserve">sbabichenko.com/lqg</w:t>
        </w:r>
      </w:hyperlink>
      <w:r>
        <w:rPr>
          <w:rFonts w:ascii="Calibri" w:cs="Calibri" w:eastAsia="Calibri" w:hAnsi="Calibri"/>
          <w:sz w:val="20"/>
          <w:szCs w:val="20"/>
        </w:rPr>
        <w:t xml:space="preserve">.</w:t>
      </w:r>
    </w:p>
    <w:p>
      <w:pPr>
        <w:tabs>
          <w:tab w:val="right" w:pos="10800"/>
        </w:tabs>
        <w:spacing w:before="20" w:after="0"/>
      </w:pPr>
      <w:r>
        <w:rPr>
          <w:rFonts w:ascii="Calibri" w:cs="Calibri" w:eastAsia="Calibri" w:hAnsi="Calibri"/>
          <w:b/>
          <w:bCs/>
          <w:i/>
          <w:iCs/>
          <w:sz w:val="20"/>
          <w:szCs w:val="20"/>
        </w:rPr>
        <w:t xml:space="preserve">Asymmetric Competition Among Endogenously Informed Traders</w:t>
      </w:r>
      <w:r>
        <w:rPr>
          <w:rFonts w:ascii="Calibri" w:cs="Calibri" w:eastAsia="Calibri" w:hAnsi="Calibri"/>
          <w:sz w:val="20"/>
          <w:szCs w:val="20"/>
        </w:rPr>
        <w:t xml:space="preserve">	</w:t>
      </w:r>
      <w:r>
        <w:rPr>
          <w:rFonts w:ascii="Calibri" w:cs="Calibri" w:eastAsia="Calibri" w:hAnsi="Calibri"/>
          <w:sz w:val="20"/>
          <w:szCs w:val="20"/>
        </w:rPr>
        <w:t xml:space="preserve">In preparation</w:t>
      </w:r>
    </w:p>
    <w:p>
      <w:pPr>
        <w:pStyle w:val="ListParagraph"/>
        <w:numPr>
          <w:ilvl w:val="0"/>
          <w:numId w:val="2"/>
        </w:numPr>
        <w:spacing w:before="10" w:after="10"/>
      </w:pPr>
      <w:r>
        <w:rPr>
          <w:rFonts w:ascii="Calibri" w:cs="Calibri" w:eastAsia="Calibri" w:hAnsi="Calibri"/>
          <w:sz w:val="20"/>
          <w:szCs w:val="20"/>
        </w:rPr>
        <w:t xml:space="preserve">Models markets where traders choose how much to invest in private information, then compete through order flow that reveals their knowledge to others. Shows that endogenous information acquisition systematically distorts prices and amplifies volatility, quantitatively resolving the Grossman–Stiglitz paradox.</w:t>
      </w:r>
    </w:p>
    <w:p>
      <w:pPr>
        <w:pStyle w:val="Heading1"/>
        <w:pBdr>
          <w:bottom w:val="single" w:color="000000" w:sz="4" w:space="1"/>
        </w:pBdr>
        <w:spacing w:before="140" w:after="20"/>
      </w:pPr>
      <w:r>
        <w:rPr>
          <w:rFonts w:ascii="Calibri" w:cs="Calibri" w:eastAsia="Calibri" w:hAnsi="Calibri"/>
        </w:rPr>
        <w:t xml:space="preserve">Experience</w:t>
      </w:r>
    </w:p>
    <w:p>
      <w:pPr>
        <w:tabs>
          <w:tab w:val="right" w:pos="10800"/>
        </w:tabs>
        <w:spacing w:before="30" w:after="0"/>
      </w:pPr>
      <w:r>
        <w:rPr>
          <w:rFonts w:ascii="Calibri" w:cs="Calibri" w:eastAsia="Calibri" w:hAnsi="Calibri"/>
          <w:b/>
          <w:bCs/>
          <w:sz w:val="20"/>
          <w:szCs w:val="20"/>
        </w:rPr>
        <w:t xml:space="preserve">Wells Fargo</w:t>
      </w:r>
      <w:r>
        <w:rPr>
          <w:rFonts w:ascii="Calibri" w:cs="Calibri" w:eastAsia="Calibri" w:hAnsi="Calibri"/>
          <w:sz w:val="20"/>
          <w:szCs w:val="20"/>
        </w:rPr>
        <w:t xml:space="preserve">, Charlotte, NC  –  Quantitative Researcher Intern, Mortgage Model Development</w:t>
      </w:r>
      <w:r>
        <w:rPr>
          <w:rFonts w:ascii="Calibri" w:cs="Calibri" w:eastAsia="Calibri" w:hAnsi="Calibri"/>
          <w:sz w:val="20"/>
          <w:szCs w:val="20"/>
        </w:rPr>
        <w:t xml:space="preserve">	</w:t>
      </w:r>
      <w:r>
        <w:rPr>
          <w:rFonts w:ascii="Calibri" w:cs="Calibri" w:eastAsia="Calibri" w:hAnsi="Calibri"/>
          <w:sz w:val="20"/>
          <w:szCs w:val="20"/>
        </w:rPr>
        <w:t xml:space="preserve">Jun – Aug 2025</w:t>
      </w:r>
    </w:p>
    <w:p>
      <w:pPr>
        <w:pStyle w:val="ListParagraph"/>
        <w:numPr>
          <w:ilvl w:val="0"/>
          <w:numId w:val="2"/>
        </w:numPr>
        <w:spacing w:before="10" w:after="10"/>
      </w:pPr>
      <w:r>
        <w:rPr>
          <w:rFonts w:ascii="Calibri" w:cs="Calibri" w:eastAsia="Calibri" w:hAnsi="Calibri"/>
          <w:sz w:val="20"/>
          <w:szCs w:val="20"/>
        </w:rPr>
        <w:t xml:space="preserve">Led collaboration between model developers and validators to improve prepayment models for a $200B mortgage portfolio; delivered a model upgrade projected to generate $100M in additional annual profit.</w:t>
      </w:r>
    </w:p>
    <w:p>
      <w:pPr>
        <w:pStyle w:val="ListParagraph"/>
        <w:numPr>
          <w:ilvl w:val="0"/>
          <w:numId w:val="2"/>
        </w:numPr>
        <w:spacing w:before="10" w:after="10"/>
      </w:pPr>
      <w:r>
        <w:rPr>
          <w:rFonts w:ascii="Calibri" w:cs="Calibri" w:eastAsia="Calibri" w:hAnsi="Calibri"/>
          <w:sz w:val="20"/>
          <w:szCs w:val="20"/>
        </w:rPr>
        <w:t xml:space="preserve">Applied high-dimensional probability techniques to reduce overfitting; updated KPIs to isolate systemic estimation errors and identified a stable 2-year half-life in model alpha signals.</w:t>
      </w:r>
    </w:p>
    <w:p>
      <w:pPr>
        <w:pStyle w:val="ListParagraph"/>
        <w:numPr>
          <w:ilvl w:val="0"/>
          <w:numId w:val="2"/>
        </w:numPr>
        <w:spacing w:before="10" w:after="10"/>
      </w:pPr>
      <w:r>
        <w:rPr>
          <w:rFonts w:ascii="Calibri" w:cs="Calibri" w:eastAsia="Calibri" w:hAnsi="Calibri"/>
          <w:sz w:val="20"/>
          <w:szCs w:val="20"/>
        </w:rPr>
        <w:t xml:space="preserve">Independently designed an improved cohorting method that accelerated model runtime, and built diagnostic tools quantifying the accuracy–speed tradeoff to help stakeholders evaluate the resulting approximations.</w:t>
      </w:r>
    </w:p>
    <w:p>
      <w:pPr>
        <w:pStyle w:val="Heading1"/>
        <w:pBdr>
          <w:bottom w:val="single" w:color="000000" w:sz="4" w:space="1"/>
        </w:pBdr>
        <w:spacing w:before="140" w:after="20"/>
      </w:pPr>
      <w:r>
        <w:rPr>
          <w:rFonts w:ascii="Calibri" w:cs="Calibri" w:eastAsia="Calibri" w:hAnsi="Calibri"/>
        </w:rPr>
        <w:t xml:space="preserve">Selected Projects</w:t>
      </w:r>
    </w:p>
    <w:p>
      <w:pPr>
        <w:tabs>
          <w:tab w:val="right" w:pos="10800"/>
        </w:tabs>
        <w:spacing w:before="30" w:after="0"/>
      </w:pPr>
      <w:r>
        <w:rPr>
          <w:rFonts w:ascii="Calibri" w:cs="Calibri" w:eastAsia="Calibri" w:hAnsi="Calibri"/>
          <w:b/>
          <w:bCs/>
          <w:sz w:val="20"/>
          <w:szCs w:val="20"/>
        </w:rPr>
        <w:t xml:space="preserve">Multi-Agent Traffic Simulation (Waymo Open Motion Dataset)</w:t>
      </w:r>
    </w:p>
    <w:p>
      <w:pPr>
        <w:pStyle w:val="ListParagraph"/>
        <w:numPr>
          <w:ilvl w:val="0"/>
          <w:numId w:val="2"/>
        </w:numPr>
        <w:spacing w:before="10" w:after="10"/>
      </w:pPr>
      <w:r>
        <w:rPr>
          <w:rFonts w:ascii="Calibri" w:cs="Calibri" w:eastAsia="Calibri" w:hAnsi="Calibri"/>
          <w:sz w:val="20"/>
          <w:szCs w:val="20"/>
        </w:rPr>
        <w:t xml:space="preserve">Reimplemented BehaviorGPT for multi-agent traffic simulation: decoder-only transformer with agent–agent attention, relative spacetime embeddings, and next-patch prediction generating closed-loop 10 Hz trajectories on the Waymo Open Motion Dataset.</w:t>
      </w:r>
    </w:p>
    <w:p>
      <w:pPr>
        <w:pStyle w:val="ListParagraph"/>
        <w:numPr>
          <w:ilvl w:val="0"/>
          <w:numId w:val="2"/>
        </w:numPr>
        <w:spacing w:before="10" w:after="10"/>
      </w:pPr>
      <w:r>
        <w:rPr>
          <w:rFonts w:ascii="Calibri" w:cs="Calibri" w:eastAsia="Calibri" w:hAnsi="Calibri"/>
          <w:sz w:val="20"/>
          <w:szCs w:val="20"/>
        </w:rPr>
        <w:t xml:space="preserve">Extending to a two-stage architecture: the transformer predicts only at branch points where agent behavior becomes multimodal (lane changes, yielding decisions, intersection entries), then a conditional diffusion model interpolates realistic trajectories between branch points with guided sampling. The separation targets the core weakness of uniform-rate autoregression, which wastes capacity on smooth segments and accumulates errors through unnecessary sequential predictions.</w:t>
      </w:r>
    </w:p>
    <w:p>
      <w:pPr>
        <w:tabs>
          <w:tab w:val="right" w:pos="10800"/>
        </w:tabs>
        <w:spacing w:before="20" w:after="0"/>
      </w:pPr>
      <w:r>
        <w:rPr>
          <w:rFonts w:ascii="Calibri" w:cs="Calibri" w:eastAsia="Calibri" w:hAnsi="Calibri"/>
          <w:b/>
          <w:bCs/>
          <w:sz w:val="20"/>
          <w:szCs w:val="20"/>
        </w:rPr>
        <w:t xml:space="preserve">Adaptive Triangle-Mesh Regression</w:t>
      </w:r>
    </w:p>
    <w:p>
      <w:pPr>
        <w:pStyle w:val="ListParagraph"/>
        <w:numPr>
          <w:ilvl w:val="0"/>
          <w:numId w:val="2"/>
        </w:numPr>
        <w:spacing w:before="10" w:after="10"/>
      </w:pPr>
      <w:r>
        <w:rPr>
          <w:rFonts w:ascii="Calibri" w:cs="Calibri" w:eastAsia="Calibri" w:hAnsi="Calibri"/>
          <w:sz w:val="20"/>
          <w:szCs w:val="20"/>
        </w:rPr>
        <w:t xml:space="preserve">Continuous surface model on an adaptive right-triangle bisection mesh with hierarchical partial pooling and wavelet shrinkage, addressing the discontinuity problem of tree-based models observed in the Wells Fargo prepayment project.</w:t>
      </w:r>
    </w:p>
    <w:p>
      <w:pPr>
        <w:pStyle w:val="Heading1"/>
        <w:pBdr>
          <w:bottom w:val="single" w:color="000000" w:sz="4" w:space="1"/>
        </w:pBdr>
        <w:spacing w:before="140" w:after="20"/>
      </w:pPr>
      <w:r>
        <w:rPr>
          <w:rFonts w:ascii="Calibri" w:cs="Calibri" w:eastAsia="Calibri" w:hAnsi="Calibri"/>
        </w:rPr>
        <w:t xml:space="preserve">Skills</w:t>
      </w:r>
    </w:p>
    <w:p>
      <w:pPr>
        <w:spacing w:before="30" w:after="0"/>
      </w:pPr>
      <w:r>
        <w:rPr>
          <w:rFonts w:ascii="Calibri" w:cs="Calibri" w:eastAsia="Calibri" w:hAnsi="Calibri"/>
          <w:b/>
          <w:bCs/>
          <w:sz w:val="20"/>
          <w:szCs w:val="20"/>
        </w:rPr>
        <w:t xml:space="preserve">Programming: </w:t>
      </w:r>
      <w:r>
        <w:rPr>
          <w:rFonts w:ascii="Calibri" w:cs="Calibri" w:eastAsia="Calibri" w:hAnsi="Calibri"/>
          <w:sz w:val="20"/>
          <w:szCs w:val="20"/>
        </w:rPr>
        <w:t xml:space="preserve">C++23, Python, CUDA, Triton, WebAssembly/Emscripten, Linux, bash, SQL, computer architecture</w:t>
      </w:r>
    </w:p>
    <w:p>
      <w:pPr>
        <w:spacing w:before="10" w:after="0"/>
      </w:pPr>
      <w:r>
        <w:rPr>
          <w:rFonts w:ascii="Calibri" w:cs="Calibri" w:eastAsia="Calibri" w:hAnsi="Calibri"/>
          <w:b/>
          <w:bCs/>
          <w:sz w:val="20"/>
          <w:szCs w:val="20"/>
        </w:rPr>
        <w:t xml:space="preserve">ML &amp; Data: </w:t>
      </w:r>
      <w:r>
        <w:rPr>
          <w:rFonts w:ascii="Calibri" w:cs="Calibri" w:eastAsia="Calibri" w:hAnsi="Calibri"/>
          <w:sz w:val="20"/>
          <w:szCs w:val="20"/>
        </w:rPr>
        <w:t xml:space="preserve">Transformer architectures, diffusion models, neural networks for control, PyTorch, NumPy, Polars, Pandas, LightGBM, XGBoost</w:t>
      </w:r>
    </w:p>
    <w:p>
      <w:pPr>
        <w:spacing w:before="10" w:after="0"/>
      </w:pPr>
      <w:r>
        <w:rPr>
          <w:rFonts w:ascii="Calibri" w:cs="Calibri" w:eastAsia="Calibri" w:hAnsi="Calibri"/>
          <w:b/>
          <w:bCs/>
          <w:sz w:val="20"/>
          <w:szCs w:val="20"/>
        </w:rPr>
        <w:t xml:space="preserve">Methods: </w:t>
      </w:r>
      <w:r>
        <w:rPr>
          <w:rFonts w:ascii="Calibri" w:cs="Calibri" w:eastAsia="Calibri" w:hAnsi="Calibri"/>
          <w:sz w:val="20"/>
          <w:szCs w:val="20"/>
        </w:rPr>
        <w:t xml:space="preserve">Stochastic calculus, stochastic control, Kalman filtering, Monte Carlo, PDE methods, time series, derivatives pricing</w:t>
      </w:r>
    </w:p>
    <w:sectPr>
      <w:pgSz w:w="12240" w:h="15840" w:orient="portrait"/>
      <w:pgMar w:top="620" w:right="720" w:bottom="6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pPr>
        <w:spacing w:before="0" w:after="0" w:line="24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00" w:after="0"/>
      <w:outlineLvl w:val="0"/>
    </w:pPr>
    <w:rPr>
      <w:rFonts w:ascii="Calibri" w:cs="Calibri" w:eastAsia="Calibri" w:hAnsi="Calibri"/>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tsfm6pmingpshjy5j4cmb" Type="http://schemas.openxmlformats.org/officeDocument/2006/relationships/hyperlink" Target="https://sbabichenko.com" TargetMode="External"/><Relationship Id="rId5zqvt5dfszyxtc-qh2lhv" Type="http://schemas.openxmlformats.org/officeDocument/2006/relationships/hyperlink" Target="https://linkedin.com/in/samuel-babichenko" TargetMode="External"/><Relationship Id="rIdnblhburi5uofhccyqxzgd" Type="http://schemas.openxmlformats.org/officeDocument/2006/relationships/hyperlink" Target="https://arxiv.org/abs/2603.12140" TargetMode="External"/><Relationship Id="rIdgxntr7imzez6hthspf87r" Type="http://schemas.openxmlformats.org/officeDocument/2006/relationships/hyperlink" Target="https://sbabichenko.com/lqg" TargetMode="Externa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2026-03-15T02:00:30.246Z</dcterms:created>
  <dcterms:modified xsi:type="dcterms:W3CDTF">2026-03-15T02:00:30.247Z</dcterms:modified>
</cp:coreProperties>
</file>

<file path=docProps/custom.xml><?xml version="1.0" encoding="utf-8"?>
<Properties xmlns="http://schemas.openxmlformats.org/officeDocument/2006/custom-properties" xmlns:vt="http://schemas.openxmlformats.org/officeDocument/2006/docPropsVTypes"/>
</file>